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ackground w:color="FFFFFF"/>
  <w:body>
    <w:p>
      <w:pPr>
        <w:pStyle w:val="Body"/>
        <w:rPr>
          <w:rFonts w:ascii="Arial" w:cs="Arial" w:hAnsi="Arial" w:eastAsia="Arial"/>
          <w:b w:val="1"/>
          <w:bCs w:val="1"/>
          <w:sz w:val="30"/>
          <w:szCs w:val="30"/>
        </w:rPr>
      </w:pPr>
      <w:r>
        <w:rPr>
          <w:rFonts w:ascii="Arial" w:hAnsi="Arial"/>
          <w:b w:val="1"/>
          <w:bCs w:val="1"/>
          <w:sz w:val="30"/>
          <w:szCs w:val="30"/>
          <w:rtl w:val="0"/>
          <w:lang w:val="en-US"/>
        </w:rPr>
        <w:t>Property Summary Yeerongpilly</w:t>
      </w:r>
    </w:p>
    <w:p>
      <w:pPr>
        <w:pStyle w:val="Body"/>
        <w:rPr>
          <w:rFonts w:ascii="Arial" w:cs="Arial" w:hAnsi="Arial" w:eastAsia="Arial"/>
          <w:sz w:val="20"/>
          <w:szCs w:val="20"/>
        </w:rPr>
      </w:pPr>
      <w:r>
        <w:rPr>
          <w:rStyle w:val="Hyperlink.0"/>
          <w:rFonts w:ascii="Arial" w:cs="Arial" w:hAnsi="Arial" w:eastAsia="Arial"/>
          <w:sz w:val="20"/>
          <w:szCs w:val="20"/>
        </w:rPr>
        <w:fldChar w:fldCharType="begin" w:fldLock="0"/>
      </w:r>
      <w:r>
        <w:rPr>
          <w:rStyle w:val="Hyperlink.0"/>
          <w:rFonts w:ascii="Arial" w:cs="Arial" w:hAnsi="Arial" w:eastAsia="Arial"/>
          <w:sz w:val="20"/>
          <w:szCs w:val="20"/>
        </w:rPr>
        <w:instrText xml:space="preserve"> HYPERLINK "https://www.realcommercial.com.au/property-industrial+warehouse-qld-yeerongpilly-502842078"</w:instrText>
      </w:r>
      <w:r>
        <w:rPr>
          <w:rStyle w:val="Hyperlink.0"/>
          <w:rFonts w:ascii="Arial" w:cs="Arial" w:hAnsi="Arial" w:eastAsia="Arial"/>
          <w:sz w:val="20"/>
          <w:szCs w:val="20"/>
        </w:rPr>
        <w:fldChar w:fldCharType="separate" w:fldLock="0"/>
      </w:r>
      <w:r>
        <w:rPr>
          <w:rStyle w:val="Hyperlink.0"/>
          <w:rFonts w:ascii="Arial" w:hAnsi="Arial"/>
          <w:sz w:val="20"/>
          <w:szCs w:val="20"/>
          <w:rtl w:val="0"/>
          <w:lang w:val="en-US"/>
        </w:rPr>
        <w:t>https://www.realcommercial.com.au/property-industrial+warehouse-qld-yeerongpilly-502842078</w:t>
      </w:r>
      <w:r>
        <w:rPr>
          <w:rFonts w:ascii="Arial" w:cs="Arial" w:hAnsi="Arial" w:eastAsia="Arial"/>
          <w:sz w:val="20"/>
          <w:szCs w:val="20"/>
        </w:rPr>
        <w:fldChar w:fldCharType="end" w:fldLock="0"/>
      </w:r>
      <w:r>
        <w:rPr>
          <w:rFonts w:ascii="Arial" w:hAnsi="Arial"/>
          <w:sz w:val="20"/>
          <w:szCs w:val="20"/>
          <w:rtl w:val="0"/>
          <w:lang w:val="en-US"/>
        </w:rPr>
        <w:t xml:space="preserve"> </w:t>
      </w:r>
    </w:p>
    <w:tbl>
      <w:tblPr>
        <w:tblW w:w="9010" w:type="dxa"/>
        <w:jc w:val="left"/>
        <w:tblInd w:w="108" w:type="dxa"/>
        <w:tblBorders>
          <w:top w:val="single" w:color="ffffff" w:sz="8" w:space="0" w:shadow="0" w:frame="0"/>
          <w:left w:val="single" w:color="ffffff" w:sz="8" w:space="0" w:shadow="0" w:frame="0"/>
          <w:bottom w:val="single" w:color="ffffff" w:sz="8" w:space="0" w:shadow="0" w:frame="0"/>
          <w:right w:val="single" w:color="ffffff" w:sz="8" w:space="0" w:shadow="0" w:frame="0"/>
          <w:insideH w:val="single" w:color="ffffff" w:sz="8" w:space="0" w:shadow="0" w:frame="0"/>
          <w:insideV w:val="single" w:color="ffffff" w:sz="8" w:space="0" w:shadow="0" w:frame="0"/>
        </w:tblBorders>
        <w:shd w:val="clear" w:color="auto" w:fill="ced7e7"/>
        <w:tblLayout w:type="fixed"/>
      </w:tblPr>
      <w:tblGrid>
        <w:gridCol w:w="2593"/>
        <w:gridCol w:w="6417"/>
      </w:tblGrid>
      <w:tr>
        <w:tblPrEx>
          <w:shd w:val="clear" w:color="auto" w:fill="ced7e7"/>
        </w:tblPrEx>
        <w:trPr>
          <w:trHeight w:val="430" w:hRule="atLeast"/>
        </w:trPr>
        <w:tc>
          <w:tcPr>
            <w:tcW w:type="dxa" w:w="9010"/>
            <w:gridSpan w:val="2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jc w:val="center"/>
            </w:pPr>
            <w:r>
              <w:rPr>
                <w:b w:val="1"/>
                <w:bCs w:val="1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36"/>
                <w:szCs w:val="36"/>
                <w:u w:val="none" w:color="000000"/>
                <w:vertAlign w:val="baseline"/>
                <w:rtl w:val="0"/>
                <w:lang w:val="en-US"/>
              </w:rPr>
              <w:t>Property Summary Table</w:t>
            </w:r>
            <w:r>
              <w:rPr>
                <w:b w:val="1"/>
                <w:bCs w:val="1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36"/>
                <w:szCs w:val="36"/>
                <w:u w:val="none" w:color="000000"/>
                <w:vertAlign w:val="baseline"/>
                <w:rtl w:val="0"/>
                <w:lang w:val="en-US"/>
              </w:rPr>
              <w:t xml:space="preserve">- </w:t>
            </w:r>
            <w:r>
              <w:rPr>
                <w:b w:val="1"/>
                <w:bCs w:val="1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36"/>
                <w:szCs w:val="36"/>
                <w:u w:val="none" w:color="000000"/>
                <w:vertAlign w:val="baseline"/>
                <w:rtl w:val="0"/>
                <w:lang w:val="en-US"/>
              </w:rPr>
              <w:t>Yeerongpilly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Property Location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3-38 Tennyson Memorial Ave YEERONGPILLY - QLD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Property Type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sz w:val="28"/>
                <w:szCs w:val="28"/>
                <w:rtl w:val="0"/>
                <w:lang w:val="en-US"/>
              </w:rPr>
              <w:t>Ware</w:t>
            </w: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house and large office</w:t>
            </w:r>
          </w:p>
        </w:tc>
      </w:tr>
      <w:tr>
        <w:tblPrEx>
          <w:shd w:val="clear" w:color="auto" w:fill="ced7e7"/>
        </w:tblPrEx>
        <w:trPr>
          <w:trHeight w:val="19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Tenant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Photo Printing lab RGB Digital</w:t>
            </w:r>
          </w:p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</w:pPr>
            <w:r>
              <w:rPr>
                <w:rStyle w:val="Hyperlink.0"/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ff"/>
                <w:spacing w:val="0"/>
                <w:kern w:val="0"/>
                <w:position w:val="0"/>
                <w:sz w:val="28"/>
                <w:szCs w:val="28"/>
                <w:u w:val="single" w:color="0000ff"/>
                <w:vertAlign w:val="baseline"/>
                <w:rtl w:val="0"/>
              </w:rPr>
              <w:fldChar w:fldCharType="begin" w:fldLock="0"/>
            </w:r>
            <w:r>
              <w:rPr>
                <w:rStyle w:val="Hyperlink.0"/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ff"/>
                <w:spacing w:val="0"/>
                <w:kern w:val="0"/>
                <w:position w:val="0"/>
                <w:sz w:val="28"/>
                <w:szCs w:val="28"/>
                <w:u w:val="single" w:color="0000ff"/>
                <w:vertAlign w:val="baseline"/>
                <w:rtl w:val="0"/>
              </w:rPr>
              <w:instrText xml:space="preserve"> HYPERLINK "https://www.rgbdigital.com.au/index.php"</w:instrText>
            </w:r>
            <w:r>
              <w:rPr>
                <w:rStyle w:val="Hyperlink.0"/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ff"/>
                <w:spacing w:val="0"/>
                <w:kern w:val="0"/>
                <w:position w:val="0"/>
                <w:sz w:val="28"/>
                <w:szCs w:val="28"/>
                <w:u w:val="single" w:color="0000ff"/>
                <w:vertAlign w:val="baseline"/>
                <w:rtl w:val="0"/>
              </w:rPr>
              <w:fldChar w:fldCharType="separate" w:fldLock="0"/>
            </w:r>
            <w:r>
              <w:rPr>
                <w:rStyle w:val="Hyperlink.0"/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ff"/>
                <w:spacing w:val="0"/>
                <w:kern w:val="0"/>
                <w:position w:val="0"/>
                <w:sz w:val="28"/>
                <w:szCs w:val="28"/>
                <w:u w:val="single" w:color="0000ff"/>
                <w:vertAlign w:val="baseline"/>
                <w:rtl w:val="0"/>
                <w:lang w:val="en-US"/>
              </w:rPr>
              <w:t>https://www.rgbdigital.com.au/index.php</w:t>
            </w: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fldChar w:fldCharType="end" w:fldLock="0"/>
            </w:r>
          </w:p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They have 2 locations</w:t>
            </w: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 xml:space="preserve">… </w:t>
            </w: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Direct to the public and call centre and Tennyson Mem</w:t>
            </w: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 xml:space="preserve"> (THIS ONE)</w:t>
            </w: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 xml:space="preserve"> is preparation</w:t>
            </w: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 xml:space="preserve"> area</w:t>
            </w: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 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Land size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</w:tr>
      <w:tr>
        <w:tblPrEx>
          <w:shd w:val="clear" w:color="auto" w:fill="ced7e7"/>
        </w:tblPrEx>
        <w:trPr>
          <w:trHeight w:val="97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Property Size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278 sqm</w:t>
            </w:r>
          </w:p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Includes 4 car parks</w:t>
            </w:r>
          </w:p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Office area 208 sqm and Warehouse 70 Sqm</w:t>
            </w:r>
          </w:p>
        </w:tc>
      </w:tr>
      <w:tr>
        <w:tblPrEx>
          <w:shd w:val="clear" w:color="auto" w:fill="ced7e7"/>
        </w:tblPrEx>
        <w:trPr>
          <w:trHeight w:val="65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Property Includes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 xml:space="preserve">Office, warehouse, toilet amenities, air conditioning, allocated </w:t>
            </w: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 xml:space="preserve">4 </w:t>
            </w: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car parks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Zoning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General Industry B</w:t>
            </w:r>
          </w:p>
        </w:tc>
      </w:tr>
      <w:tr>
        <w:tblPrEx>
          <w:shd w:val="clear" w:color="auto" w:fill="ced7e7"/>
        </w:tblPrEx>
        <w:trPr>
          <w:trHeight w:val="161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Lease Term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New 3 year lease</w:t>
            </w:r>
          </w:p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PLus Annual Reviews</w:t>
            </w: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br w:type="textWrapping"/>
            </w: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 xml:space="preserve">Review Method: CPI or 3% whichever is the greater Market Review at option </w:t>
            </w:r>
          </w:p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Rent Gross / Net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Net plus outgoings plus GST</w:t>
            </w:r>
          </w:p>
        </w:tc>
      </w:tr>
      <w:tr>
        <w:tblPrEx>
          <w:shd w:val="clear" w:color="auto" w:fill="ced7e7"/>
        </w:tblPrEx>
        <w:trPr>
          <w:trHeight w:val="19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Lease Details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sz w:val="28"/>
                <w:szCs w:val="28"/>
                <w:rtl w:val="0"/>
                <w:lang w:val="en-US"/>
              </w:rPr>
              <w:t>Owner to become tenant- been trading for 18 years</w:t>
            </w:r>
          </w:p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sz w:val="28"/>
                <w:szCs w:val="28"/>
                <w:rtl w:val="0"/>
                <w:lang w:val="en-US"/>
              </w:rPr>
              <w:t>Total Bond $8,000 OR a Bank Guarantee</w:t>
            </w:r>
          </w:p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sz w:val="28"/>
                <w:szCs w:val="28"/>
                <w:rtl w:val="0"/>
                <w:lang w:val="en-US"/>
              </w:rPr>
              <w:t>Plus Deposit bond of 1 months rent in advance $4,400 includes GST</w:t>
            </w:r>
          </w:p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sz w:val="28"/>
                <w:szCs w:val="28"/>
                <w:rtl w:val="0"/>
                <w:lang w:val="en-US"/>
              </w:rPr>
              <w:t>Make good clause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Options Available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1</w:t>
            </w: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 xml:space="preserve"> by 3 year options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 xml:space="preserve">Outgoings 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100% paid by tenant</w:t>
            </w:r>
          </w:p>
        </w:tc>
      </w:tr>
      <w:tr>
        <w:tblPrEx>
          <w:shd w:val="clear" w:color="auto" w:fill="ced7e7"/>
        </w:tblPrEx>
        <w:trPr>
          <w:trHeight w:val="65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 xml:space="preserve">Insurance 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sz w:val="28"/>
                <w:szCs w:val="28"/>
                <w:rtl w:val="0"/>
                <w:lang w:val="en-US"/>
              </w:rPr>
              <w:t>Plate glass insurance by tenant</w:t>
            </w:r>
          </w:p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sz w:val="28"/>
                <w:szCs w:val="28"/>
                <w:rtl w:val="0"/>
                <w:lang w:val="en-US"/>
              </w:rPr>
              <w:t xml:space="preserve">Tenant to maintain and repair air conditioners 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Method of Sale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 xml:space="preserve">Sale price </w:t>
            </w:r>
          </w:p>
        </w:tc>
      </w:tr>
      <w:tr>
        <w:tblPrEx>
          <w:shd w:val="clear" w:color="auto" w:fill="ced7e7"/>
        </w:tblPrEx>
        <w:trPr>
          <w:trHeight w:val="65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Agent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 xml:space="preserve">Paul Flego  M: 0406 604 767 </w:t>
            </w: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br w:type="textWrapping"/>
            </w: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web: rch.com.au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Net Rent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 xml:space="preserve">$48,000 Net 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Sale Price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$685,000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% Return Net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1"/>
                <w:bCs w:val="1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7%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Offer Price at 8.5%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$564,700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Offer Price at 8%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$600,000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Offer Price at 7.5%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>$640,000</w:t>
            </w:r>
          </w:p>
        </w:tc>
      </w:tr>
      <w:tr>
        <w:tblPrEx>
          <w:shd w:val="clear" w:color="auto" w:fill="ced7e7"/>
        </w:tblPrEx>
        <w:trPr>
          <w:trHeight w:val="330" w:hRule="atLeast"/>
        </w:trPr>
        <w:tc>
          <w:tcPr>
            <w:tcW w:type="dxa" w:w="259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after="0" w:line="240" w:lineRule="auto"/>
            </w:pPr>
            <w:r>
              <w:rPr>
                <w:rFonts w:ascii="Calibri" w:cs="Calibri" w:hAnsi="Calibri" w:eastAsia="Calibri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  <w:lang w:val="en-US"/>
              </w:rPr>
              <w:t>Offer Price at 7%</w:t>
            </w:r>
          </w:p>
        </w:tc>
        <w:tc>
          <w:tcPr>
            <w:tcW w:type="dxa" w:w="6416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left"/>
              <w:outlineLvl w:val="9"/>
              <w:rPr>
                <w:rtl w:val="0"/>
              </w:rPr>
            </w:pPr>
            <w:r>
              <w:rPr>
                <w:rFonts w:ascii="Calibri" w:cs="Calibri" w:hAnsi="Calibri" w:eastAsia="Calibri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8"/>
                <w:szCs w:val="28"/>
                <w:u w:val="none" w:color="000000"/>
                <w:vertAlign w:val="baseline"/>
                <w:rtl w:val="0"/>
              </w:rPr>
              <w:t xml:space="preserve"> $685,000- ASKING price</w:t>
            </w:r>
          </w:p>
        </w:tc>
      </w:tr>
    </w:tbl>
    <w:p>
      <w:pPr>
        <w:pStyle w:val="Body"/>
        <w:widowControl w:val="0"/>
        <w:spacing w:line="240" w:lineRule="auto"/>
        <w:rPr>
          <w:rFonts w:ascii="Arial" w:cs="Arial" w:hAnsi="Arial" w:eastAsia="Arial"/>
          <w:sz w:val="30"/>
          <w:szCs w:val="30"/>
        </w:rPr>
      </w:pPr>
    </w:p>
    <w:p>
      <w:pPr>
        <w:pStyle w:val="Body"/>
        <w:rPr>
          <w:rFonts w:ascii="Arial" w:cs="Arial" w:hAnsi="Arial" w:eastAsia="Arial"/>
          <w:sz w:val="30"/>
          <w:szCs w:val="30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30"/>
          <w:szCs w:val="30"/>
        </w:rPr>
      </w:pPr>
      <w:r>
        <w:rPr>
          <w:rFonts w:ascii="Arial" w:hAnsi="Arial"/>
          <w:b w:val="1"/>
          <w:bCs w:val="1"/>
          <w:sz w:val="30"/>
          <w:szCs w:val="30"/>
          <w:rtl w:val="0"/>
          <w:lang w:val="en-US"/>
        </w:rPr>
        <w:t xml:space="preserve">More Information 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hAnsi="Arial"/>
          <w:sz w:val="30"/>
          <w:szCs w:val="30"/>
          <w:rtl w:val="0"/>
          <w:lang w:val="en-US"/>
        </w:rPr>
        <w:t xml:space="preserve">Located within 4 km to Brisbane CBD close to all major arterial road </w:t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30"/>
          <w:szCs w:val="30"/>
        </w:rPr>
        <w:br w:type="textWrapping"/>
      </w:r>
      <w:r>
        <w:rPr>
          <w:rFonts w:ascii="Arial" w:hAnsi="Arial"/>
          <w:sz w:val="30"/>
          <w:szCs w:val="30"/>
          <w:rtl w:val="0"/>
          <w:lang w:val="en-US"/>
        </w:rPr>
        <w:t xml:space="preserve">networks and major residential and Govt. projects </w:t>
      </w:r>
      <w:r>
        <w:rPr>
          <w:rFonts w:ascii="Arial" w:hAnsi="Arial"/>
          <w:sz w:val="30"/>
          <w:szCs w:val="30"/>
          <w:rtl w:val="0"/>
          <w:lang w:val="en-US"/>
        </w:rPr>
        <w:t xml:space="preserve">SEE </w:t>
      </w:r>
      <w:r>
        <w:rPr>
          <w:rStyle w:val="Hyperlink.0"/>
          <w:rFonts w:ascii="Arial" w:cs="Arial" w:hAnsi="Arial" w:eastAsia="Arial"/>
          <w:sz w:val="30"/>
          <w:szCs w:val="30"/>
        </w:rPr>
        <w:fldChar w:fldCharType="begin" w:fldLock="0"/>
      </w:r>
      <w:r>
        <w:rPr>
          <w:rStyle w:val="Hyperlink.0"/>
          <w:rFonts w:ascii="Arial" w:cs="Arial" w:hAnsi="Arial" w:eastAsia="Arial"/>
          <w:sz w:val="30"/>
          <w:szCs w:val="30"/>
        </w:rPr>
        <w:instrText xml:space="preserve"> HYPERLINK "https://www.yeerongpillygreen.com.au/"</w:instrText>
      </w:r>
      <w:r>
        <w:rPr>
          <w:rStyle w:val="Hyperlink.0"/>
          <w:rFonts w:ascii="Arial" w:cs="Arial" w:hAnsi="Arial" w:eastAsia="Arial"/>
          <w:sz w:val="30"/>
          <w:szCs w:val="30"/>
        </w:rPr>
        <w:fldChar w:fldCharType="separate" w:fldLock="0"/>
      </w:r>
      <w:r>
        <w:rPr>
          <w:rStyle w:val="Hyperlink.0"/>
          <w:rFonts w:ascii="Arial" w:hAnsi="Arial"/>
          <w:sz w:val="30"/>
          <w:szCs w:val="30"/>
          <w:rtl w:val="0"/>
          <w:lang w:val="en-US"/>
        </w:rPr>
        <w:t>https://www.yeerongpillygreen.com.au/</w:t>
      </w:r>
      <w:r>
        <w:rPr>
          <w:rFonts w:ascii="Arial" w:cs="Arial" w:hAnsi="Arial" w:eastAsia="Arial"/>
          <w:sz w:val="30"/>
          <w:szCs w:val="30"/>
        </w:rPr>
        <w:fldChar w:fldCharType="end" w:fldLock="0"/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hAnsi="Arial"/>
          <w:sz w:val="30"/>
          <w:szCs w:val="30"/>
          <w:rtl w:val="0"/>
          <w:lang w:val="en-US"/>
        </w:rPr>
        <w:t>There will be a large residential development plus retail plus offices. THis should be good to stimulate local business</w:t>
      </w:r>
      <w:r>
        <w:rPr>
          <w:rFonts w:ascii="Arial" w:hAnsi="Arial" w:hint="default"/>
          <w:sz w:val="30"/>
          <w:szCs w:val="30"/>
          <w:rtl w:val="0"/>
          <w:lang w:val="en-US"/>
        </w:rPr>
        <w:t xml:space="preserve">… </w:t>
      </w:r>
      <w:r>
        <w:rPr>
          <w:rFonts w:ascii="Arial" w:hAnsi="Arial"/>
          <w:sz w:val="30"/>
          <w:szCs w:val="30"/>
          <w:rtl w:val="0"/>
          <w:lang w:val="en-US"/>
        </w:rPr>
        <w:t>With over 1,200 apartments planned in the near future</w:t>
      </w:r>
      <w:r>
        <w:rPr>
          <w:rFonts w:ascii="Arial" w:hAnsi="Arial"/>
          <w:sz w:val="30"/>
          <w:szCs w:val="30"/>
          <w:rtl w:val="0"/>
          <w:lang w:val="en-US"/>
        </w:rPr>
        <w:t>.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hAnsi="Arial"/>
          <w:sz w:val="30"/>
          <w:szCs w:val="30"/>
          <w:rtl w:val="0"/>
          <w:lang w:val="en-US"/>
        </w:rPr>
        <w:t xml:space="preserve">Yeerongpilly Green will be home to the only Corporate Office Park within 5 kilometres of the CBD. Offering over 50,000sqm of commercial floor space, the area is set to become a future hot spot for all levels of business </w:t>
      </w:r>
      <w:r>
        <w:rPr>
          <w:rFonts w:ascii="Arial" w:hAnsi="Arial" w:hint="default"/>
          <w:sz w:val="30"/>
          <w:szCs w:val="30"/>
          <w:rtl w:val="0"/>
        </w:rPr>
        <w:t xml:space="preserve">– </w:t>
      </w:r>
      <w:r>
        <w:rPr>
          <w:rFonts w:ascii="Arial" w:hAnsi="Arial"/>
          <w:sz w:val="30"/>
          <w:szCs w:val="30"/>
          <w:rtl w:val="0"/>
          <w:lang w:val="en-US"/>
        </w:rPr>
        <w:t>small, medium and large.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hAnsi="Arial"/>
          <w:b w:val="1"/>
          <w:bCs w:val="1"/>
          <w:sz w:val="30"/>
          <w:szCs w:val="30"/>
          <w:rtl w:val="0"/>
          <w:lang w:val="en-US"/>
        </w:rPr>
        <w:t>NOTE: this will create some competition for the office spaces above the warehouse of this property. Need to research further.</w:t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30"/>
          <w:szCs w:val="30"/>
        </w:rPr>
        <w:br w:type="textWrapping"/>
      </w:r>
      <w:r>
        <w:rPr>
          <w:rFonts w:ascii="Arial" w:hAnsi="Arial"/>
          <w:sz w:val="30"/>
          <w:szCs w:val="30"/>
          <w:rtl w:val="0"/>
          <w:lang w:val="en-US"/>
        </w:rPr>
        <w:t>Close to Yeerongpilly Train station and within major bus networks</w:t>
      </w:r>
      <w:r>
        <w:rPr>
          <w:rFonts w:ascii="Arial" w:hAnsi="Arial"/>
          <w:sz w:val="30"/>
          <w:szCs w:val="30"/>
          <w:rtl w:val="0"/>
          <w:lang w:val="en-US"/>
        </w:rPr>
        <w:t>.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30"/>
          <w:szCs w:val="30"/>
        </w:rPr>
        <w:br w:type="textWrapping"/>
      </w:r>
      <w:r>
        <w:rPr>
          <w:rFonts w:ascii="Arial" w:hAnsi="Arial"/>
          <w:sz w:val="30"/>
          <w:szCs w:val="30"/>
          <w:rtl w:val="0"/>
          <w:lang w:val="en-US"/>
        </w:rPr>
        <w:t>Current owner will be the new tenant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cs="Arial" w:hAnsi="Arial" w:eastAsia="Arial"/>
          <w:sz w:val="30"/>
          <w:szCs w:val="30"/>
          <w:rtl w:val="0"/>
        </w:rPr>
        <w:tab/>
        <w:t xml:space="preserve">Commencement date of Lease upon settlement of purchase 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cs="Arial" w:hAnsi="Arial" w:eastAsia="Arial"/>
          <w:sz w:val="30"/>
          <w:szCs w:val="30"/>
          <w:rtl w:val="0"/>
        </w:rPr>
        <w:tab/>
        <w:t xml:space="preserve">* </w:t>
      </w:r>
      <w:r>
        <w:rPr>
          <w:rFonts w:ascii="Arial" w:hAnsi="Arial" w:hint="default"/>
          <w:sz w:val="30"/>
          <w:szCs w:val="30"/>
          <w:rtl w:val="0"/>
        </w:rPr>
        <w:t> </w:t>
      </w:r>
      <w:r>
        <w:rPr>
          <w:rFonts w:ascii="Arial" w:hAnsi="Arial"/>
          <w:sz w:val="30"/>
          <w:szCs w:val="30"/>
          <w:rtl w:val="0"/>
          <w:lang w:val="en-US"/>
        </w:rPr>
        <w:t xml:space="preserve">Tenants have been trading in this property for over 18 years </w:t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30"/>
          <w:szCs w:val="30"/>
        </w:rPr>
        <w:br w:type="textWrapping"/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hAnsi="Arial"/>
          <w:b w:val="1"/>
          <w:bCs w:val="1"/>
          <w:sz w:val="30"/>
          <w:szCs w:val="30"/>
          <w:rtl w:val="0"/>
          <w:lang w:val="en-US"/>
        </w:rPr>
        <w:t>Outgoings: 100% payable by tenant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hAnsi="Arial"/>
          <w:sz w:val="30"/>
          <w:szCs w:val="30"/>
          <w:rtl w:val="0"/>
          <w:lang w:val="en-US"/>
        </w:rPr>
        <w:t>Body Corporate: $290 per quarter $1,160</w:t>
      </w:r>
    </w:p>
    <w:p>
      <w:pPr>
        <w:pStyle w:val="Body"/>
        <w:rPr>
          <w:rFonts w:ascii="Arial" w:cs="Arial" w:hAnsi="Arial" w:eastAsia="Arial"/>
          <w:b w:val="1"/>
          <w:bCs w:val="1"/>
          <w:sz w:val="30"/>
          <w:szCs w:val="30"/>
        </w:rPr>
      </w:pPr>
      <w:r>
        <w:rPr>
          <w:rFonts w:ascii="Arial" w:hAnsi="Arial"/>
          <w:b w:val="1"/>
          <w:bCs w:val="1"/>
          <w:sz w:val="30"/>
          <w:szCs w:val="30"/>
          <w:rtl w:val="0"/>
          <w:lang w:val="en-US"/>
        </w:rPr>
        <w:t>Past Sold Prices: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hAnsi="Arial"/>
          <w:sz w:val="30"/>
          <w:szCs w:val="30"/>
          <w:rtl w:val="0"/>
          <w:lang w:val="en-US"/>
        </w:rPr>
        <w:t>https://www.realestate.com.au/property/unit-3-38-tennyson-memorial-ave-yeerongpilly-qld-4105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hAnsi="Arial"/>
          <w:sz w:val="30"/>
          <w:szCs w:val="30"/>
          <w:rtl w:val="0"/>
          <w:lang w:val="en-US"/>
        </w:rPr>
        <w:t xml:space="preserve">In </w:t>
      </w:r>
      <w:r>
        <w:rPr>
          <w:rFonts w:ascii="Arial" w:hAnsi="Arial"/>
          <w:sz w:val="30"/>
          <w:szCs w:val="30"/>
          <w:rtl w:val="0"/>
        </w:rPr>
        <w:t>November 2000</w:t>
      </w:r>
      <w:r>
        <w:rPr>
          <w:rFonts w:ascii="Arial" w:hAnsi="Arial"/>
          <w:sz w:val="30"/>
          <w:szCs w:val="30"/>
          <w:rtl w:val="0"/>
          <w:lang w:val="en-US"/>
        </w:rPr>
        <w:t xml:space="preserve">   </w:t>
      </w:r>
      <w:r>
        <w:rPr>
          <w:rFonts w:ascii="Arial" w:hAnsi="Arial"/>
          <w:sz w:val="30"/>
          <w:szCs w:val="30"/>
          <w:rtl w:val="0"/>
          <w:lang w:val="en-US"/>
        </w:rPr>
        <w:t>$199,000</w:t>
        <w:tab/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30"/>
          <w:szCs w:val="30"/>
        </w:rPr>
        <w:br w:type="textWrapping"/>
      </w:r>
      <w:r>
        <w:rPr>
          <w:rFonts w:ascii="Arial" w:hAnsi="Arial"/>
          <w:sz w:val="30"/>
          <w:szCs w:val="30"/>
          <w:rtl w:val="0"/>
          <w:lang w:val="en-US"/>
        </w:rPr>
        <w:t xml:space="preserve">In </w:t>
      </w:r>
      <w:r>
        <w:rPr>
          <w:rFonts w:ascii="Arial" w:hAnsi="Arial"/>
          <w:sz w:val="30"/>
          <w:szCs w:val="30"/>
          <w:rtl w:val="0"/>
          <w:lang w:val="en-US"/>
        </w:rPr>
        <w:t>May 1994</w:t>
      </w:r>
      <w:r>
        <w:rPr>
          <w:rFonts w:ascii="Arial" w:hAnsi="Arial"/>
          <w:sz w:val="30"/>
          <w:szCs w:val="30"/>
          <w:rtl w:val="0"/>
          <w:lang w:val="en-US"/>
        </w:rPr>
        <w:t xml:space="preserve">  </w:t>
      </w:r>
      <w:r>
        <w:rPr>
          <w:rFonts w:ascii="Arial" w:hAnsi="Arial"/>
          <w:sz w:val="30"/>
          <w:szCs w:val="30"/>
          <w:rtl w:val="0"/>
          <w:lang w:val="en-US"/>
        </w:rPr>
        <w:t>$272,500</w:t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30"/>
          <w:szCs w:val="30"/>
        </w:rPr>
        <w:br w:type="textWrapping"/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30"/>
          <w:szCs w:val="30"/>
        </w:rPr>
      </w:pPr>
      <w:r>
        <w:rPr>
          <w:rFonts w:ascii="Arial" w:hAnsi="Arial"/>
          <w:b w:val="1"/>
          <w:bCs w:val="1"/>
          <w:sz w:val="30"/>
          <w:szCs w:val="30"/>
          <w:rtl w:val="0"/>
          <w:lang w:val="en-US"/>
        </w:rPr>
        <w:t>Growth Potential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Style w:val="Hyperlink.0"/>
          <w:rFonts w:ascii="Arial" w:cs="Arial" w:hAnsi="Arial" w:eastAsia="Arial"/>
          <w:sz w:val="30"/>
          <w:szCs w:val="30"/>
        </w:rPr>
        <w:fldChar w:fldCharType="begin" w:fldLock="0"/>
      </w:r>
      <w:r>
        <w:rPr>
          <w:rStyle w:val="Hyperlink.0"/>
          <w:rFonts w:ascii="Arial" w:cs="Arial" w:hAnsi="Arial" w:eastAsia="Arial"/>
          <w:sz w:val="30"/>
          <w:szCs w:val="30"/>
        </w:rPr>
        <w:instrText xml:space="preserve"> HYPERLINK "https://www.realestate.com.au/invest/house-in-yeerongpilly,+qld+4105"</w:instrText>
      </w:r>
      <w:r>
        <w:rPr>
          <w:rStyle w:val="Hyperlink.0"/>
          <w:rFonts w:ascii="Arial" w:cs="Arial" w:hAnsi="Arial" w:eastAsia="Arial"/>
          <w:sz w:val="30"/>
          <w:szCs w:val="30"/>
        </w:rPr>
        <w:fldChar w:fldCharType="separate" w:fldLock="0"/>
      </w:r>
      <w:r>
        <w:rPr>
          <w:rStyle w:val="Hyperlink.0"/>
          <w:rFonts w:ascii="Arial" w:hAnsi="Arial"/>
          <w:sz w:val="30"/>
          <w:szCs w:val="30"/>
          <w:rtl w:val="0"/>
          <w:lang w:val="en-US"/>
        </w:rPr>
        <w:t>https://www.realestate.com.au/invest/house-in-yeerongpilly,+qld+4105</w:t>
      </w:r>
      <w:r>
        <w:rPr>
          <w:rFonts w:ascii="Arial" w:cs="Arial" w:hAnsi="Arial" w:eastAsia="Arial"/>
          <w:sz w:val="30"/>
          <w:szCs w:val="30"/>
        </w:rPr>
        <w:fldChar w:fldCharType="end" w:fldLock="0"/>
      </w:r>
      <w:r>
        <w:rPr>
          <w:rFonts w:ascii="Arial" w:hAnsi="Arial"/>
          <w:sz w:val="30"/>
          <w:szCs w:val="30"/>
          <w:rtl w:val="0"/>
          <w:lang w:val="en-US"/>
        </w:rPr>
        <w:t xml:space="preserve"> 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hAnsi="Arial"/>
          <w:sz w:val="30"/>
          <w:szCs w:val="30"/>
          <w:rtl w:val="0"/>
          <w:lang w:val="en-US"/>
        </w:rPr>
        <w:t>Residential growth rate 5.2%</w:t>
      </w:r>
    </w:p>
    <w:p>
      <w:pPr>
        <w:pStyle w:val="Body"/>
        <w:rPr>
          <w:rFonts w:ascii="Arial" w:cs="Arial" w:hAnsi="Arial" w:eastAsia="Arial"/>
          <w:sz w:val="30"/>
          <w:szCs w:val="30"/>
        </w:rPr>
      </w:pPr>
      <w:r>
        <w:rPr>
          <w:rFonts w:ascii="Arial" w:hAnsi="Arial"/>
          <w:sz w:val="30"/>
          <w:szCs w:val="30"/>
          <w:rtl w:val="0"/>
          <w:lang w:val="en-US"/>
        </w:rPr>
        <w:t>Assume 1.5% less for commercial so 3.7%</w:t>
      </w:r>
    </w:p>
    <w:p>
      <w:pPr>
        <w:pStyle w:val="Body"/>
        <w:bidi w:val="0"/>
        <w:spacing w:after="0" w:line="240" w:lineRule="auto"/>
        <w:ind w:left="0" w:right="0" w:firstLine="0"/>
        <w:jc w:val="left"/>
        <w:rPr>
          <w:rFonts w:ascii="Arial" w:cs="Arial" w:hAnsi="Arial" w:eastAsia="Arial"/>
          <w:sz w:val="30"/>
          <w:szCs w:val="30"/>
          <w:rtl w:val="0"/>
        </w:rPr>
      </w:pPr>
    </w:p>
    <w:tbl>
      <w:tblPr>
        <w:tblW w:w="9632" w:type="dxa"/>
        <w:jc w:val="left"/>
        <w:tblInd w:w="108" w:type="dxa"/>
        <w:tblBorders>
          <w:top w:val="single" w:color="000000" w:sz="2" w:space="0" w:shadow="0" w:frame="0"/>
          <w:left w:val="single" w:color="000000" w:sz="2" w:space="0" w:shadow="0" w:frame="0"/>
          <w:bottom w:val="single" w:color="000000" w:sz="2" w:space="0" w:shadow="0" w:frame="0"/>
          <w:right w:val="single" w:color="000000" w:sz="2" w:space="0" w:shadow="0" w:frame="0"/>
          <w:insideH w:val="single" w:color="000000" w:sz="2" w:space="0" w:shadow="0" w:frame="0"/>
          <w:insideV w:val="single" w:color="000000" w:sz="2" w:space="0" w:shadow="0" w:frame="0"/>
        </w:tblBorders>
        <w:shd w:val="clear" w:color="auto" w:fill="auto"/>
        <w:tblLayout w:type="fixed"/>
      </w:tblPr>
      <w:tblGrid>
        <w:gridCol w:w="3210"/>
        <w:gridCol w:w="3211"/>
        <w:gridCol w:w="3211"/>
      </w:tblGrid>
      <w:tr>
        <w:tblPrEx>
          <w:shd w:val="clear" w:color="auto" w:fill="bdc0bf"/>
        </w:tblPrEx>
        <w:trPr>
          <w:trHeight w:val="319" w:hRule="atLeast"/>
          <w:tblHeader/>
        </w:trPr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4" w:space="0" w:shadow="0" w:frame="0"/>
              <w:right w:val="single" w:color="000000" w:sz="2" w:space="0" w:shadow="0" w:frame="0"/>
            </w:tcBorders>
            <w:shd w:val="clear" w:color="auto" w:fill="bdc0bf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able Style 1"/>
            </w:pPr>
            <w:r>
              <w:rPr>
                <w:rFonts w:ascii="Helvetica Neue" w:hAnsi="Helvetica Neue"/>
                <w:sz w:val="24"/>
                <w:szCs w:val="24"/>
                <w:rtl w:val="0"/>
              </w:rPr>
              <w:t>Purchase Price</w:t>
            </w:r>
          </w:p>
        </w:tc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4" w:space="0" w:shadow="0" w:frame="0"/>
              <w:right w:val="single" w:color="000000" w:sz="2" w:space="0" w:shadow="0" w:frame="0"/>
            </w:tcBorders>
            <w:shd w:val="clear" w:color="auto" w:fill="bdc0bf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right"/>
              <w:outlineLvl w:val="9"/>
              <w:rPr>
                <w:rtl w:val="0"/>
              </w:rPr>
            </w:pPr>
            <w:r>
              <w:rPr>
                <w:rFonts w:ascii="Helvetica Neue" w:cs="Arial Unicode MS" w:hAnsi="Helvetica Neue" w:eastAsia="Arial Unicode MS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4"/>
                <w:szCs w:val="24"/>
                <w:u w:val="none"/>
                <w:vertAlign w:val="baseline"/>
                <w:rtl w:val="0"/>
              </w:rPr>
              <w:t>$685,000</w:t>
            </w:r>
          </w:p>
        </w:tc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4" w:space="0" w:shadow="0" w:frame="0"/>
              <w:right w:val="single" w:color="000000" w:sz="2" w:space="0" w:shadow="0" w:frame="0"/>
            </w:tcBorders>
            <w:shd w:val="clear" w:color="auto" w:fill="bdc0bf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</w:tr>
      <w:tr>
        <w:tblPrEx>
          <w:shd w:val="clear" w:color="auto" w:fill="auto"/>
        </w:tblPrEx>
        <w:trPr>
          <w:trHeight w:val="319" w:hRule="atLeast"/>
        </w:trPr>
        <w:tc>
          <w:tcPr>
            <w:tcW w:type="dxa" w:w="3210"/>
            <w:tcBorders>
              <w:top w:val="single" w:color="000000" w:sz="4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able Style 2"/>
            </w:pPr>
            <w:r>
              <w:rPr>
                <w:rFonts w:ascii="Helvetica Neue" w:hAnsi="Helvetica Neue"/>
                <w:sz w:val="24"/>
                <w:szCs w:val="24"/>
                <w:rtl w:val="0"/>
              </w:rPr>
              <w:t>@ 3.7% growth (x 1.037)</w:t>
            </w:r>
          </w:p>
        </w:tc>
        <w:tc>
          <w:tcPr>
            <w:tcW w:type="dxa" w:w="3210"/>
            <w:tcBorders>
              <w:top w:val="single" w:color="000000" w:sz="4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right"/>
              <w:outlineLvl w:val="9"/>
              <w:rPr>
                <w:rtl w:val="0"/>
              </w:rPr>
            </w:pPr>
            <w:r>
              <w:rPr/>
              <w:fldChar w:fldCharType="begin" w:fldLock="0"/>
            </w:r>
            <w:r>
              <w:instrText xml:space="preserve"> = B1*1.015 \# "AUD,0" \* MERGEFORMAT</w:instrText>
            </w:r>
            <w:r>
              <w:rPr/>
              <w:fldChar w:fldCharType="separate" w:fldLock="0"/>
            </w:r>
            <w:r>
              <w:rPr>
                <w:rFonts w:ascii="Helvetica Neue" w:cs="Arial Unicode MS" w:hAnsi="Helvetica Neue" w:eastAsia="Arial Unicode MS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4"/>
                <w:szCs w:val="24"/>
                <w:u w:val="none"/>
                <w:vertAlign w:val="baseline"/>
                <w:rtl w:val="0"/>
              </w:rPr>
              <w:t>$695,275</w:t>
            </w:r>
            <w:r>
              <w:rPr/>
              <w:fldChar w:fldCharType="end" w:fldLock="0"/>
            </w:r>
          </w:p>
        </w:tc>
        <w:tc>
          <w:tcPr>
            <w:tcW w:type="dxa" w:w="3210"/>
            <w:tcBorders>
              <w:top w:val="single" w:color="000000" w:sz="4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able Style 2"/>
            </w:pPr>
            <w:r>
              <w:rPr>
                <w:rFonts w:ascii="Helvetica Neue" w:hAnsi="Helvetica Neue"/>
                <w:sz w:val="24"/>
                <w:szCs w:val="24"/>
                <w:rtl w:val="0"/>
              </w:rPr>
              <w:t>Year 1</w:t>
            </w:r>
          </w:p>
        </w:tc>
      </w:tr>
      <w:tr>
        <w:tblPrEx>
          <w:shd w:val="clear" w:color="auto" w:fill="auto"/>
        </w:tblPrEx>
        <w:trPr>
          <w:trHeight w:val="319" w:hRule="atLeast"/>
        </w:trPr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eeeeee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able Style 2"/>
            </w:pPr>
            <w:r>
              <w:rPr>
                <w:rFonts w:ascii="Helvetica Neue" w:hAnsi="Helvetica Neue"/>
                <w:sz w:val="24"/>
                <w:szCs w:val="24"/>
                <w:rtl w:val="0"/>
              </w:rPr>
              <w:t>Increase 3.7%  (x 1.037)</w:t>
            </w:r>
          </w:p>
        </w:tc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eeeeee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right"/>
              <w:outlineLvl w:val="9"/>
              <w:rPr>
                <w:rtl w:val="0"/>
              </w:rPr>
            </w:pPr>
            <w:r>
              <w:rPr/>
              <w:fldChar w:fldCharType="begin" w:fldLock="0"/>
            </w:r>
            <w:r>
              <w:instrText xml:space="preserve"> = B2*1.015 \# "AUD,0" \* MERGEFORMAT</w:instrText>
            </w:r>
            <w:r>
              <w:rPr/>
              <w:fldChar w:fldCharType="separate" w:fldLock="0"/>
            </w:r>
            <w:r>
              <w:rPr>
                <w:rFonts w:ascii="Helvetica Neue" w:cs="Arial Unicode MS" w:hAnsi="Helvetica Neue" w:eastAsia="Arial Unicode MS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4"/>
                <w:szCs w:val="24"/>
                <w:u w:val="none"/>
                <w:vertAlign w:val="baseline"/>
                <w:rtl w:val="0"/>
              </w:rPr>
              <w:t>$705,704.125</w:t>
            </w:r>
            <w:r>
              <w:rPr/>
              <w:fldChar w:fldCharType="end" w:fldLock="0"/>
            </w:r>
          </w:p>
        </w:tc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eeeeee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able Style 2"/>
            </w:pPr>
            <w:r>
              <w:rPr>
                <w:rFonts w:ascii="Helvetica Neue" w:hAnsi="Helvetica Neue"/>
                <w:sz w:val="24"/>
                <w:szCs w:val="24"/>
                <w:rtl w:val="0"/>
              </w:rPr>
              <w:t>Year 2</w:t>
            </w:r>
          </w:p>
        </w:tc>
      </w:tr>
      <w:tr>
        <w:tblPrEx>
          <w:shd w:val="clear" w:color="auto" w:fill="auto"/>
        </w:tblPrEx>
        <w:trPr>
          <w:trHeight w:val="319" w:hRule="atLeast"/>
        </w:trPr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able Style 2"/>
            </w:pPr>
            <w:r>
              <w:rPr>
                <w:rFonts w:ascii="Helvetica Neue" w:hAnsi="Helvetica Neue"/>
                <w:sz w:val="24"/>
                <w:szCs w:val="24"/>
                <w:rtl w:val="0"/>
              </w:rPr>
              <w:t>Increase 3.7%  (x 1.037)</w:t>
            </w:r>
          </w:p>
        </w:tc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right"/>
              <w:outlineLvl w:val="9"/>
              <w:rPr>
                <w:rtl w:val="0"/>
              </w:rPr>
            </w:pPr>
            <w:r>
              <w:rPr/>
              <w:fldChar w:fldCharType="begin" w:fldLock="0"/>
            </w:r>
            <w:r>
              <w:instrText xml:space="preserve"> = B3*1.15 \# "AUD,0" \* MERGEFORMAT</w:instrText>
            </w:r>
            <w:r>
              <w:rPr/>
              <w:fldChar w:fldCharType="separate" w:fldLock="0"/>
            </w:r>
            <w:r>
              <w:rPr>
                <w:rFonts w:ascii="Helvetica Neue" w:cs="Arial Unicode MS" w:hAnsi="Helvetica Neue" w:eastAsia="Arial Unicode MS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4"/>
                <w:szCs w:val="24"/>
                <w:u w:val="none"/>
                <w:vertAlign w:val="baseline"/>
                <w:rtl w:val="0"/>
              </w:rPr>
              <w:t>$811,559.74375</w:t>
            </w:r>
            <w:r>
              <w:rPr/>
              <w:fldChar w:fldCharType="end" w:fldLock="0"/>
            </w:r>
          </w:p>
        </w:tc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able Style 2"/>
            </w:pPr>
            <w:r>
              <w:rPr>
                <w:rFonts w:ascii="Helvetica Neue" w:hAnsi="Helvetica Neue"/>
                <w:sz w:val="24"/>
                <w:szCs w:val="24"/>
                <w:rtl w:val="0"/>
              </w:rPr>
              <w:t>Year 3</w:t>
            </w:r>
          </w:p>
        </w:tc>
      </w:tr>
      <w:tr>
        <w:tblPrEx>
          <w:shd w:val="clear" w:color="auto" w:fill="auto"/>
        </w:tblPrEx>
        <w:trPr>
          <w:trHeight w:val="319" w:hRule="atLeast"/>
        </w:trPr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eeeeee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able Style 2"/>
            </w:pPr>
            <w:r>
              <w:rPr>
                <w:rFonts w:ascii="Helvetica Neue" w:hAnsi="Helvetica Neue"/>
                <w:sz w:val="24"/>
                <w:szCs w:val="24"/>
                <w:rtl w:val="0"/>
              </w:rPr>
              <w:t>Increase 3.7%  (x 1.037</w:t>
            </w:r>
          </w:p>
        </w:tc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eeeeee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right"/>
              <w:outlineLvl w:val="9"/>
              <w:rPr>
                <w:rtl w:val="0"/>
              </w:rPr>
            </w:pPr>
            <w:r>
              <w:rPr/>
              <w:fldChar w:fldCharType="begin" w:fldLock="0"/>
            </w:r>
            <w:r>
              <w:instrText xml:space="preserve"> = B4*1.015 \# "AUD,0" \* MERGEFORMAT</w:instrText>
            </w:r>
            <w:r>
              <w:rPr/>
              <w:fldChar w:fldCharType="separate" w:fldLock="0"/>
            </w:r>
            <w:r>
              <w:rPr>
                <w:rFonts w:ascii="Helvetica Neue" w:cs="Arial Unicode MS" w:hAnsi="Helvetica Neue" w:eastAsia="Arial Unicode MS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4"/>
                <w:szCs w:val="24"/>
                <w:u w:val="none"/>
                <w:vertAlign w:val="baseline"/>
                <w:rtl w:val="0"/>
              </w:rPr>
              <w:t>$823,733.13990625</w:t>
            </w:r>
            <w:r>
              <w:rPr/>
              <w:fldChar w:fldCharType="end" w:fldLock="0"/>
            </w:r>
          </w:p>
        </w:tc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eeeeee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able Style 2"/>
            </w:pPr>
            <w:r>
              <w:rPr>
                <w:rFonts w:ascii="Helvetica Neue" w:hAnsi="Helvetica Neue"/>
                <w:sz w:val="24"/>
                <w:szCs w:val="24"/>
                <w:rtl w:val="0"/>
              </w:rPr>
              <w:t>Year 4</w:t>
            </w:r>
          </w:p>
        </w:tc>
      </w:tr>
      <w:tr>
        <w:tblPrEx>
          <w:shd w:val="clear" w:color="auto" w:fill="auto"/>
        </w:tblPrEx>
        <w:trPr>
          <w:trHeight w:val="319" w:hRule="atLeast"/>
        </w:trPr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able Style 2"/>
            </w:pPr>
            <w:r>
              <w:rPr>
                <w:rFonts w:ascii="Helvetica Neue" w:hAnsi="Helvetica Neue"/>
                <w:sz w:val="24"/>
                <w:szCs w:val="24"/>
                <w:rtl w:val="0"/>
              </w:rPr>
              <w:t>Increase 3.7%  (x 1.037)</w:t>
            </w:r>
          </w:p>
        </w:tc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right"/>
              <w:outlineLvl w:val="9"/>
              <w:rPr>
                <w:rtl w:val="0"/>
              </w:rPr>
            </w:pPr>
            <w:r>
              <w:rPr/>
              <w:fldChar w:fldCharType="begin" w:fldLock="0"/>
            </w:r>
            <w:r>
              <w:instrText xml:space="preserve"> = B5*1.015 \# "AUD,0" \* MERGEFORMAT</w:instrText>
            </w:r>
            <w:r>
              <w:rPr/>
              <w:fldChar w:fldCharType="separate" w:fldLock="0"/>
            </w:r>
            <w:r>
              <w:rPr>
                <w:rFonts w:ascii="Helvetica Neue" w:cs="Arial Unicode MS" w:hAnsi="Helvetica Neue" w:eastAsia="Arial Unicode MS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4"/>
                <w:szCs w:val="24"/>
                <w:u w:val="none"/>
                <w:vertAlign w:val="baseline"/>
                <w:rtl w:val="0"/>
              </w:rPr>
              <w:t>$836,089.137004843</w:t>
            </w:r>
            <w:r>
              <w:rPr/>
              <w:fldChar w:fldCharType="end" w:fldLock="0"/>
            </w:r>
          </w:p>
        </w:tc>
        <w:tc>
          <w:tcPr>
            <w:tcW w:type="dxa" w:w="3210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able Style 2"/>
            </w:pPr>
            <w:r>
              <w:rPr>
                <w:rFonts w:ascii="Helvetica Neue" w:hAnsi="Helvetica Neue"/>
                <w:sz w:val="24"/>
                <w:szCs w:val="24"/>
                <w:rtl w:val="0"/>
              </w:rPr>
              <w:t>Year 5</w:t>
            </w:r>
          </w:p>
        </w:tc>
      </w:tr>
    </w:tbl>
    <w:p>
      <w:pPr>
        <w:pStyle w:val="Body"/>
        <w:bidi w:val="0"/>
        <w:spacing w:after="0" w:line="240" w:lineRule="auto"/>
        <w:ind w:left="0" w:right="0" w:firstLine="0"/>
        <w:jc w:val="left"/>
        <w:rPr>
          <w:rFonts w:ascii="Arial" w:cs="Arial" w:hAnsi="Arial" w:eastAsia="Arial"/>
          <w:sz w:val="30"/>
          <w:szCs w:val="30"/>
          <w:rtl w:val="0"/>
        </w:rPr>
      </w:pPr>
    </w:p>
    <w:p>
      <w:pPr>
        <w:pStyle w:val="Body"/>
        <w:bidi w:val="0"/>
        <w:spacing w:after="0" w:line="240" w:lineRule="auto"/>
        <w:ind w:left="0" w:right="0" w:firstLine="0"/>
        <w:jc w:val="left"/>
        <w:rPr>
          <w:rFonts w:ascii="Arial" w:cs="Arial" w:hAnsi="Arial" w:eastAsia="Arial"/>
          <w:sz w:val="30"/>
          <w:szCs w:val="30"/>
          <w:rtl w:val="0"/>
        </w:rPr>
      </w:pPr>
    </w:p>
    <w:p>
      <w:pPr>
        <w:pStyle w:val="Body"/>
        <w:rPr>
          <w:rFonts w:ascii="Arial" w:cs="Arial" w:hAnsi="Arial" w:eastAsia="Arial"/>
          <w:sz w:val="30"/>
          <w:szCs w:val="30"/>
        </w:rPr>
      </w:pPr>
    </w:p>
    <w:p>
      <w:pPr>
        <w:pStyle w:val="Body"/>
        <w:rPr>
          <w:rFonts w:ascii="Arial" w:cs="Arial" w:hAnsi="Arial" w:eastAsia="Arial"/>
          <w:sz w:val="30"/>
          <w:szCs w:val="30"/>
        </w:rPr>
      </w:pPr>
    </w:p>
    <w:p>
      <w:pPr>
        <w:pStyle w:val="Body"/>
        <w:rPr>
          <w:rFonts w:ascii="Arial" w:cs="Arial" w:hAnsi="Arial" w:eastAsia="Arial"/>
          <w:sz w:val="30"/>
          <w:szCs w:val="30"/>
        </w:rPr>
      </w:pPr>
    </w:p>
    <w:p>
      <w:pPr>
        <w:pStyle w:val="Body"/>
        <w:rPr>
          <w:rFonts w:ascii="Arial" w:cs="Arial" w:hAnsi="Arial" w:eastAsia="Arial"/>
          <w:sz w:val="30"/>
          <w:szCs w:val="30"/>
        </w:rPr>
      </w:pPr>
    </w:p>
    <w:p>
      <w:pPr>
        <w:pStyle w:val="Body"/>
      </w:pPr>
      <w:r>
        <w:rPr>
          <w:rFonts w:ascii="Arial" w:hAnsi="Arial"/>
          <w:b w:val="1"/>
          <w:bCs w:val="1"/>
          <w:sz w:val="30"/>
          <w:szCs w:val="30"/>
          <w:rtl w:val="0"/>
          <w:lang w:val="en-US"/>
        </w:rPr>
        <w:t>Great location in Brisbane</w:t>
      </w:r>
      <w:r>
        <w:rPr>
          <w:rFonts w:ascii="Arial" w:cs="Arial" w:hAnsi="Arial" w:eastAsia="Arial"/>
          <w:sz w:val="30"/>
          <w:szCs w:val="30"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-493871</wp:posOffset>
            </wp:positionH>
            <wp:positionV relativeFrom="line">
              <wp:posOffset>331852</wp:posOffset>
            </wp:positionV>
            <wp:extent cx="6702743" cy="4644583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3"/>
                <wp:lineTo x="0" y="21613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38 Tennyson Memorial Ave YEERONGPILLY 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2743" cy="464458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>
      <w:headerReference w:type="default" r:id="rId5"/>
      <w:footerReference w:type="default" r:id="rId6"/>
      <w:pgSz w:w="11900" w:h="16840" w:orient="portrait"/>
      <w:pgMar w:top="1440" w:right="1440" w:bottom="1440" w:left="1440" w:header="708" w:footer="708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Calibri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English" w:val="‘“(〔[{〈《「『【⦅〘〖«〝︵︷︹︻︽︿﹁﹃﹇﹙﹛﹝｢"/>
  <w:noLineBreaksBefore w:lang="Englis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 &amp; Footer">
    <w:name w:val="Header &amp; Footer"/>
    <w:next w:val="Header &amp; Footer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vertAlign w:val="baseline"/>
    </w:rPr>
  </w:style>
  <w:style w:type="paragraph" w:styleId="Body">
    <w:name w:val="Body"/>
    <w:next w:val="Body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200" w:line="276" w:lineRule="auto"/>
      <w:ind w:left="0" w:right="0" w:firstLine="0"/>
      <w:jc w:val="left"/>
      <w:outlineLvl w:val="9"/>
    </w:pPr>
    <w:rPr>
      <w:rFonts w:ascii="Calibri" w:cs="Calibri" w:hAnsi="Calibri" w:eastAsia="Calibri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vertAlign w:val="baseline"/>
      <w:lang w:val="en-US"/>
    </w:rPr>
  </w:style>
  <w:style w:type="character" w:styleId="Hyperlink.0">
    <w:name w:val="Hyperlink.0"/>
    <w:basedOn w:val="Hyperlink"/>
    <w:next w:val="Hyperlink.0"/>
    <w:rPr>
      <w:color w:val="0000ff"/>
      <w:u w:val="single" w:color="0000ff"/>
    </w:rPr>
  </w:style>
  <w:style w:type="paragraph" w:styleId="Table Style 1">
    <w:name w:val="Table Style 1"/>
    <w:next w:val="Table Style 1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Helvetica Neue" w:hAnsi="Helvetica Neue" w:eastAsia="Helvetica Neue"/>
      <w:b w:val="1"/>
      <w:bCs w:val="1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/>
      <w:vertAlign w:val="baseline"/>
    </w:rPr>
  </w:style>
  <w:style w:type="paragraph" w:styleId="Table Style 2">
    <w:name w:val="Table Style 2"/>
    <w:next w:val="Table Style 2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Helvetica Neue" w:hAnsi="Helvetica Neue" w:eastAsia="Helvetica Neue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/>
      <w:vertAlign w:val="baseline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0000" dir="540000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3000" dir="540000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0000" dir="540000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